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Serie PCH 80 GR con manchón semielástico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construcción: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Bomba centrífuga horizontal, fabricación normalizada para servicio continuo, con cierre mecánico, totalmente en F°H° ASTM A 48 C30- Eje AISI 304- Impulsor monocanal abierto, Sellos mecánicos en tungsteno, viton,inox, mínimo y fácil mantenimiento, alto poder de aspiración. Accionamiento por medio de manchón semielástico o poleas y correas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Aplicaciones: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Bombeo de líquidos residuales, cloacales, sucios y cargados de Impurezas. Plantas de tratamientos,Depuradoras, Curtiembres, frigorificas, pesqueras, mineras, químicas, etc.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Prestaciones: 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  <w:t xml:space="preserve">Q: 10 - 400 m3/h. H: 1 - 35m.c.a DN: 70 - 200 mm DN: 70 - 200 mm Temp. Max: 150c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ESPECIFICACIONES TÉCNICAS: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Presión de trabajo soportada: 90 PSI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Impulsor Abierto- dos Álabes-: Acero Nodular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Paso de sólidos: 55 mm - Sólidos redondos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Disco de desgaste: F°H° astm A 48 C 30 14 Kg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Rodamiento de empuje bolas abierto con el anillo de retención Rodamiento radial de doble bola, abierto.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Carter de aceite, capacidad 0,5 litros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Tapa estraible, T. fija-Caracol-Pulmón-Soporte: F°H° ASTM A 48 C 30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Capacidad del Pulmón 40 litros. Bridas y Contrabridas: Aspiración DIN 2501 - PN 80 Impulsion PN 100-F°H° ASTM Juntas - Orings: Nitrilo - Viton-Buna.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Eje: AISI 304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Equipamiento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Indicador visual del nivel y estado de aceite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Cámara de control de estado del sello mecánico.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Válvula esférica en 3" para separación y control del líquido de bombeo.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Pasamanos para limpieza del pulmón.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Válvula de purga y otra de vaciado 1".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312900</wp:posOffset>
            </wp:positionH>
            <wp:positionV relativeFrom="paragraph">
              <wp:posOffset>2876550</wp:posOffset>
            </wp:positionV>
            <wp:extent cx="5105400" cy="3409950"/>
            <wp:effectExtent b="0" l="0" r="0" t="0"/>
            <wp:wrapTopAndBottom distB="114300" distT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409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314325</wp:posOffset>
            </wp:positionH>
            <wp:positionV relativeFrom="paragraph">
              <wp:posOffset>6457950</wp:posOffset>
            </wp:positionV>
            <wp:extent cx="4886325" cy="3219450"/>
            <wp:effectExtent b="0" l="0" r="0" t="0"/>
            <wp:wrapTopAndBottom distB="114300" distT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-3846" l="-2144" r="2144" t="3846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3219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